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80"/>
        <w:gridCol w:w="1788"/>
      </w:tblGrid>
      <w:tr w:rsidR="00290F73" w:rsidRPr="00AA3BF3" w:rsidTr="00194812">
        <w:tc>
          <w:tcPr>
            <w:tcW w:w="1242" w:type="dxa"/>
          </w:tcPr>
          <w:p w:rsidR="00290F73" w:rsidRPr="00AA3BF3" w:rsidRDefault="00B36C4A" w:rsidP="001948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344BB66" wp14:editId="2ED63BB4">
                  <wp:extent cx="780808" cy="890337"/>
                  <wp:effectExtent l="0" t="0" r="0" b="0"/>
                  <wp:docPr id="3" name="Image 3" descr="C:\Users\ICHRAF\Desktop\ASCHRAF\FACULTÉ\Logo FMT et modèle attest\FM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HRAF\Desktop\ASCHRAF\FACULTÉ\Logo FMT et modèle attest\FM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08" cy="89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36C4A" w:rsidRPr="00B36C4A" w:rsidRDefault="00B36C4A" w:rsidP="00B36C4A">
            <w:pPr>
              <w:pStyle w:val="En-tte"/>
              <w:tabs>
                <w:tab w:val="center" w:pos="4620"/>
              </w:tabs>
              <w:jc w:val="center"/>
              <w:rPr>
                <w:rFonts w:ascii="Tahoma" w:hAnsi="Tahoma" w:cs="Tahoma"/>
              </w:rPr>
            </w:pPr>
            <w:r w:rsidRPr="00B36C4A">
              <w:rPr>
                <w:rFonts w:ascii="Tahoma" w:hAnsi="Tahoma" w:cs="Tahoma"/>
              </w:rPr>
              <w:t>Ministère de l’Enseignement Supérieur de la Recherche Scientifique</w:t>
            </w:r>
          </w:p>
          <w:p w:rsidR="00B36C4A" w:rsidRPr="00B36C4A" w:rsidRDefault="00B36C4A" w:rsidP="00B36C4A">
            <w:pPr>
              <w:pStyle w:val="En-tte"/>
              <w:tabs>
                <w:tab w:val="center" w:pos="4620"/>
              </w:tabs>
              <w:jc w:val="center"/>
              <w:rPr>
                <w:rFonts w:ascii="Tahoma" w:hAnsi="Tahoma" w:cs="Tahoma"/>
              </w:rPr>
            </w:pPr>
            <w:r w:rsidRPr="00B36C4A">
              <w:rPr>
                <w:rFonts w:ascii="Tahoma" w:hAnsi="Tahoma" w:cs="Tahoma"/>
              </w:rPr>
              <w:t>Université de Tunis El Manar</w:t>
            </w:r>
          </w:p>
          <w:p w:rsidR="00B36C4A" w:rsidRPr="00356C8B" w:rsidRDefault="00B36C4A" w:rsidP="00B36C4A">
            <w:pPr>
              <w:pStyle w:val="En-tte"/>
              <w:tabs>
                <w:tab w:val="center" w:pos="46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6C4A">
              <w:rPr>
                <w:rFonts w:ascii="Tahoma" w:hAnsi="Tahoma" w:cs="Tahoma"/>
                <w:b/>
              </w:rPr>
              <w:t>Faculté de Médecine de Tunis</w:t>
            </w:r>
          </w:p>
          <w:p w:rsidR="00290F73" w:rsidRPr="00AA3BF3" w:rsidRDefault="00290F73" w:rsidP="00290F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  <w:p w:rsidR="00B36C4A" w:rsidRPr="00B36C4A" w:rsidRDefault="00B36C4A" w:rsidP="00290F73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90F73" w:rsidRPr="00AA3BF3" w:rsidRDefault="00290F73" w:rsidP="00290F73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4096B">
              <w:rPr>
                <w:rFonts w:ascii="Tahoma" w:hAnsi="Tahoma" w:cs="Tahoma"/>
                <w:b/>
                <w:bCs/>
                <w:sz w:val="36"/>
                <w:szCs w:val="36"/>
              </w:rPr>
              <w:t>Annonce</w:t>
            </w:r>
          </w:p>
        </w:tc>
        <w:tc>
          <w:tcPr>
            <w:tcW w:w="1788" w:type="dxa"/>
          </w:tcPr>
          <w:p w:rsidR="00290F73" w:rsidRPr="00AA3BF3" w:rsidRDefault="00B36C4A" w:rsidP="001948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BBD47C6" wp14:editId="57775989">
                  <wp:extent cx="890337" cy="1041452"/>
                  <wp:effectExtent l="0" t="0" r="0" b="0"/>
                  <wp:docPr id="2" name="Image 2" descr="C:\Users\ICHRAF\Desktop\ASCHRAF\FACULTÉ\Logo FMT et modèle attest\CTM LOGO 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HRAF\Desktop\ASCHRAF\FACULTÉ\Logo FMT et modèle attest\CTM LOGO 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66" cy="104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F73" w:rsidRPr="00BC5CB3" w:rsidRDefault="00290F73" w:rsidP="00290F7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5E464A" w:rsidRDefault="00377D83" w:rsidP="00F724CE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Dans le cadre de ses activités pédagogiques, le Comité des thèses et mémoires </w:t>
      </w:r>
      <w:r w:rsidR="00FD75DD" w:rsidRPr="00A673C2">
        <w:rPr>
          <w:rFonts w:asciiTheme="majorBidi" w:hAnsiTheme="majorBidi" w:cstheme="majorBidi"/>
        </w:rPr>
        <w:t>organise</w:t>
      </w:r>
      <w:r w:rsidR="005E464A">
        <w:rPr>
          <w:rFonts w:asciiTheme="majorBidi" w:hAnsiTheme="majorBidi" w:cstheme="majorBidi"/>
        </w:rPr>
        <w:t xml:space="preserve"> u</w:t>
      </w:r>
      <w:r w:rsidR="00FD75DD" w:rsidRPr="00A673C2">
        <w:rPr>
          <w:rFonts w:asciiTheme="majorBidi" w:hAnsiTheme="majorBidi" w:cstheme="majorBidi"/>
        </w:rPr>
        <w:t xml:space="preserve">n </w:t>
      </w:r>
      <w:r w:rsidR="00290F73" w:rsidRPr="00A673C2">
        <w:rPr>
          <w:rFonts w:asciiTheme="majorBidi" w:hAnsiTheme="majorBidi" w:cstheme="majorBidi"/>
        </w:rPr>
        <w:t xml:space="preserve">séminaire-atelier </w:t>
      </w:r>
      <w:r w:rsidR="003743FB" w:rsidRPr="00A673C2">
        <w:rPr>
          <w:rFonts w:asciiTheme="majorBidi" w:hAnsiTheme="majorBidi" w:cstheme="majorBidi"/>
        </w:rPr>
        <w:t>de f</w:t>
      </w:r>
      <w:r w:rsidR="00290F73" w:rsidRPr="00A673C2">
        <w:rPr>
          <w:rFonts w:asciiTheme="majorBidi" w:hAnsiTheme="majorBidi" w:cstheme="majorBidi"/>
        </w:rPr>
        <w:t>ormation en</w:t>
      </w:r>
    </w:p>
    <w:p w:rsidR="005E464A" w:rsidRPr="005E464A" w:rsidRDefault="003743FB" w:rsidP="00F724CE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E464A">
        <w:rPr>
          <w:rFonts w:asciiTheme="majorBidi" w:hAnsiTheme="majorBidi" w:cstheme="majorBidi"/>
          <w:sz w:val="28"/>
          <w:szCs w:val="28"/>
        </w:rPr>
        <w:t>« </w:t>
      </w:r>
      <w:r w:rsidRPr="005E464A">
        <w:rPr>
          <w:rFonts w:asciiTheme="majorBidi" w:hAnsiTheme="majorBidi" w:cstheme="majorBidi"/>
          <w:b/>
          <w:bCs/>
          <w:sz w:val="28"/>
          <w:szCs w:val="28"/>
        </w:rPr>
        <w:t xml:space="preserve">Méthodologie de la recherche et </w:t>
      </w:r>
      <w:r w:rsidR="00290F73" w:rsidRPr="005E464A">
        <w:rPr>
          <w:rFonts w:asciiTheme="majorBidi" w:hAnsiTheme="majorBidi" w:cstheme="majorBidi"/>
          <w:b/>
          <w:bCs/>
          <w:sz w:val="28"/>
          <w:szCs w:val="28"/>
        </w:rPr>
        <w:t xml:space="preserve">Rédaction </w:t>
      </w:r>
      <w:r w:rsidRPr="005E464A">
        <w:rPr>
          <w:rFonts w:asciiTheme="majorBidi" w:hAnsiTheme="majorBidi" w:cstheme="majorBidi"/>
          <w:b/>
          <w:bCs/>
          <w:sz w:val="28"/>
          <w:szCs w:val="28"/>
        </w:rPr>
        <w:t>médicale scientifique</w:t>
      </w:r>
      <w:r w:rsidR="00290F73" w:rsidRPr="005E464A">
        <w:rPr>
          <w:rFonts w:asciiTheme="majorBidi" w:hAnsiTheme="majorBidi" w:cstheme="majorBidi"/>
          <w:sz w:val="28"/>
          <w:szCs w:val="28"/>
        </w:rPr>
        <w:t> »</w:t>
      </w:r>
      <w:bookmarkStart w:id="0" w:name="_GoBack"/>
      <w:bookmarkEnd w:id="0"/>
    </w:p>
    <w:p w:rsidR="00290F73" w:rsidRPr="00A673C2" w:rsidRDefault="003743FB" w:rsidP="00F724CE">
      <w:pPr>
        <w:spacing w:after="0" w:line="360" w:lineRule="auto"/>
        <w:jc w:val="both"/>
        <w:rPr>
          <w:rFonts w:asciiTheme="majorBidi" w:hAnsiTheme="majorBidi" w:cstheme="majorBidi"/>
        </w:rPr>
      </w:pPr>
      <w:r w:rsidRPr="00A673C2">
        <w:rPr>
          <w:rFonts w:asciiTheme="majorBidi" w:hAnsiTheme="majorBidi" w:cstheme="majorBidi"/>
        </w:rPr>
        <w:t>Ce séminaire</w:t>
      </w:r>
      <w:r w:rsidR="00FD75DD" w:rsidRPr="00A673C2">
        <w:rPr>
          <w:rFonts w:asciiTheme="majorBidi" w:hAnsiTheme="majorBidi" w:cstheme="majorBidi"/>
        </w:rPr>
        <w:t>-atelier</w:t>
      </w:r>
      <w:r w:rsidRPr="00A673C2">
        <w:rPr>
          <w:rFonts w:asciiTheme="majorBidi" w:hAnsiTheme="majorBidi" w:cstheme="majorBidi"/>
        </w:rPr>
        <w:t xml:space="preserve"> </w:t>
      </w:r>
      <w:r w:rsidR="00FD75DD" w:rsidRPr="00A673C2">
        <w:rPr>
          <w:rFonts w:asciiTheme="majorBidi" w:hAnsiTheme="majorBidi" w:cstheme="majorBidi"/>
        </w:rPr>
        <w:t>est</w:t>
      </w:r>
      <w:r w:rsidRPr="00A673C2">
        <w:rPr>
          <w:rFonts w:asciiTheme="majorBidi" w:hAnsiTheme="majorBidi" w:cstheme="majorBidi"/>
        </w:rPr>
        <w:t xml:space="preserve"> destiné aux professeurs, aux MCA</w:t>
      </w:r>
      <w:r w:rsidR="005E464A">
        <w:rPr>
          <w:rFonts w:asciiTheme="majorBidi" w:hAnsiTheme="majorBidi" w:cstheme="majorBidi"/>
        </w:rPr>
        <w:t xml:space="preserve"> et</w:t>
      </w:r>
      <w:r w:rsidRPr="00A673C2">
        <w:rPr>
          <w:rFonts w:asciiTheme="majorBidi" w:hAnsiTheme="majorBidi" w:cstheme="majorBidi"/>
        </w:rPr>
        <w:t xml:space="preserve"> aux AHU </w:t>
      </w:r>
      <w:r w:rsidR="005E464A">
        <w:rPr>
          <w:rFonts w:asciiTheme="majorBidi" w:hAnsiTheme="majorBidi" w:cstheme="majorBidi"/>
        </w:rPr>
        <w:t>dirigeant des thèses ou des mémoires, ainsi qu’</w:t>
      </w:r>
      <w:r w:rsidR="00290F73" w:rsidRPr="00A673C2">
        <w:rPr>
          <w:rFonts w:asciiTheme="majorBidi" w:hAnsiTheme="majorBidi" w:cstheme="majorBidi"/>
        </w:rPr>
        <w:t xml:space="preserve">aux </w:t>
      </w:r>
      <w:r w:rsidR="00D85BDA">
        <w:rPr>
          <w:rFonts w:asciiTheme="majorBidi" w:hAnsiTheme="majorBidi" w:cstheme="majorBidi"/>
        </w:rPr>
        <w:t xml:space="preserve">candidats </w:t>
      </w:r>
      <w:r w:rsidR="00290F73" w:rsidRPr="00A673C2">
        <w:rPr>
          <w:rFonts w:asciiTheme="majorBidi" w:hAnsiTheme="majorBidi" w:cstheme="majorBidi"/>
        </w:rPr>
        <w:t>élabora</w:t>
      </w:r>
      <w:r w:rsidR="00D85BDA">
        <w:rPr>
          <w:rFonts w:asciiTheme="majorBidi" w:hAnsiTheme="majorBidi" w:cstheme="majorBidi"/>
        </w:rPr>
        <w:t xml:space="preserve">nt </w:t>
      </w:r>
      <w:r w:rsidR="005E464A">
        <w:rPr>
          <w:rFonts w:asciiTheme="majorBidi" w:hAnsiTheme="majorBidi" w:cstheme="majorBidi"/>
        </w:rPr>
        <w:t>un travail scientifique</w:t>
      </w:r>
      <w:r w:rsidR="00290F73" w:rsidRPr="00A673C2">
        <w:rPr>
          <w:rFonts w:asciiTheme="majorBidi" w:hAnsiTheme="majorBidi" w:cstheme="majorBidi"/>
        </w:rPr>
        <w:t xml:space="preserve">. </w:t>
      </w:r>
      <w:r w:rsidRPr="00A673C2">
        <w:rPr>
          <w:rFonts w:asciiTheme="majorBidi" w:hAnsiTheme="majorBidi" w:cstheme="majorBidi"/>
        </w:rPr>
        <w:t xml:space="preserve">Il </w:t>
      </w:r>
      <w:r w:rsidR="00290F73" w:rsidRPr="00A673C2">
        <w:rPr>
          <w:rFonts w:asciiTheme="majorBidi" w:hAnsiTheme="majorBidi" w:cstheme="majorBidi"/>
        </w:rPr>
        <w:t>vise à clarifier les objectifs d’une thèse de doctorat en médecine</w:t>
      </w:r>
      <w:r w:rsidRPr="00A673C2">
        <w:rPr>
          <w:rFonts w:asciiTheme="majorBidi" w:hAnsiTheme="majorBidi" w:cstheme="majorBidi"/>
        </w:rPr>
        <w:t xml:space="preserve"> ou d’un mémoire</w:t>
      </w:r>
      <w:r w:rsidR="005E464A">
        <w:rPr>
          <w:rFonts w:asciiTheme="majorBidi" w:hAnsiTheme="majorBidi" w:cstheme="majorBidi"/>
        </w:rPr>
        <w:t xml:space="preserve"> de Certificat d’études complémentaires</w:t>
      </w:r>
      <w:r w:rsidR="00290F73" w:rsidRPr="00A673C2">
        <w:rPr>
          <w:rFonts w:asciiTheme="majorBidi" w:hAnsiTheme="majorBidi" w:cstheme="majorBidi"/>
        </w:rPr>
        <w:t xml:space="preserve">, </w:t>
      </w:r>
      <w:r w:rsidRPr="00A673C2">
        <w:rPr>
          <w:rFonts w:asciiTheme="majorBidi" w:hAnsiTheme="majorBidi" w:cstheme="majorBidi"/>
        </w:rPr>
        <w:t xml:space="preserve">à </w:t>
      </w:r>
      <w:r w:rsidR="00290F73" w:rsidRPr="00A673C2">
        <w:rPr>
          <w:rFonts w:asciiTheme="majorBidi" w:hAnsiTheme="majorBidi" w:cstheme="majorBidi"/>
        </w:rPr>
        <w:t xml:space="preserve">optimiser </w:t>
      </w:r>
      <w:r w:rsidRPr="00A673C2">
        <w:rPr>
          <w:rFonts w:asciiTheme="majorBidi" w:hAnsiTheme="majorBidi" w:cstheme="majorBidi"/>
        </w:rPr>
        <w:t>l’</w:t>
      </w:r>
      <w:r w:rsidR="00CA318F">
        <w:rPr>
          <w:rFonts w:asciiTheme="majorBidi" w:hAnsiTheme="majorBidi" w:cstheme="majorBidi"/>
        </w:rPr>
        <w:t xml:space="preserve">élaboration </w:t>
      </w:r>
      <w:r w:rsidR="00CA318F" w:rsidRPr="00A673C2">
        <w:rPr>
          <w:rFonts w:asciiTheme="majorBidi" w:hAnsiTheme="majorBidi" w:cstheme="majorBidi"/>
        </w:rPr>
        <w:t>d</w:t>
      </w:r>
      <w:r w:rsidR="00CA318F">
        <w:rPr>
          <w:rFonts w:asciiTheme="majorBidi" w:hAnsiTheme="majorBidi" w:cstheme="majorBidi"/>
        </w:rPr>
        <w:t>u</w:t>
      </w:r>
      <w:r w:rsidR="00CA318F" w:rsidRPr="00A673C2">
        <w:rPr>
          <w:rFonts w:asciiTheme="majorBidi" w:hAnsiTheme="majorBidi" w:cstheme="majorBidi"/>
        </w:rPr>
        <w:t xml:space="preserve"> travail</w:t>
      </w:r>
      <w:r w:rsidR="00D85BDA">
        <w:rPr>
          <w:rFonts w:asciiTheme="majorBidi" w:hAnsiTheme="majorBidi" w:cstheme="majorBidi"/>
        </w:rPr>
        <w:t xml:space="preserve"> dans tout son cycle de vie</w:t>
      </w:r>
      <w:r w:rsidR="00CA318F">
        <w:rPr>
          <w:rFonts w:asciiTheme="majorBidi" w:hAnsiTheme="majorBidi" w:cstheme="majorBidi"/>
        </w:rPr>
        <w:t>, depuis sa conception jusqu’à son dépôt à la bibliothèque</w:t>
      </w:r>
      <w:r w:rsidR="006909CC">
        <w:rPr>
          <w:rFonts w:asciiTheme="majorBidi" w:hAnsiTheme="majorBidi" w:cstheme="majorBidi"/>
        </w:rPr>
        <w:t>,</w:t>
      </w:r>
      <w:r w:rsidR="00CA318F">
        <w:rPr>
          <w:rFonts w:asciiTheme="majorBidi" w:hAnsiTheme="majorBidi" w:cstheme="majorBidi"/>
        </w:rPr>
        <w:t xml:space="preserve"> </w:t>
      </w:r>
      <w:r w:rsidR="00D85BDA">
        <w:rPr>
          <w:rFonts w:asciiTheme="majorBidi" w:hAnsiTheme="majorBidi" w:cstheme="majorBidi"/>
        </w:rPr>
        <w:t>à le rédiger, chapitre par chapitre, sur la base des recommandations internationales</w:t>
      </w:r>
      <w:r w:rsidR="00290F73" w:rsidRPr="00A673C2">
        <w:rPr>
          <w:rFonts w:asciiTheme="majorBidi" w:hAnsiTheme="majorBidi" w:cstheme="majorBidi"/>
        </w:rPr>
        <w:t xml:space="preserve"> </w:t>
      </w:r>
      <w:r w:rsidR="00D85BDA">
        <w:rPr>
          <w:rFonts w:asciiTheme="majorBidi" w:hAnsiTheme="majorBidi" w:cstheme="majorBidi"/>
        </w:rPr>
        <w:t xml:space="preserve">et à </w:t>
      </w:r>
      <w:r w:rsidR="006909CC">
        <w:rPr>
          <w:rFonts w:asciiTheme="majorBidi" w:hAnsiTheme="majorBidi" w:cstheme="majorBidi"/>
        </w:rPr>
        <w:t>exposer le</w:t>
      </w:r>
      <w:r w:rsidR="000776CF">
        <w:rPr>
          <w:rFonts w:asciiTheme="majorBidi" w:hAnsiTheme="majorBidi" w:cstheme="majorBidi"/>
        </w:rPr>
        <w:t xml:space="preserve"> contenu </w:t>
      </w:r>
      <w:r w:rsidR="006909CC">
        <w:rPr>
          <w:rFonts w:asciiTheme="majorBidi" w:hAnsiTheme="majorBidi" w:cstheme="majorBidi"/>
        </w:rPr>
        <w:t xml:space="preserve">de l’échelle et des grilles </w:t>
      </w:r>
      <w:r w:rsidR="000776CF">
        <w:rPr>
          <w:rFonts w:asciiTheme="majorBidi" w:hAnsiTheme="majorBidi" w:cstheme="majorBidi"/>
        </w:rPr>
        <w:t>sur le</w:t>
      </w:r>
      <w:r w:rsidR="006909CC">
        <w:rPr>
          <w:rFonts w:asciiTheme="majorBidi" w:hAnsiTheme="majorBidi" w:cstheme="majorBidi"/>
        </w:rPr>
        <w:t>quel se baser</w:t>
      </w:r>
      <w:r w:rsidR="000776CF">
        <w:rPr>
          <w:rFonts w:asciiTheme="majorBidi" w:hAnsiTheme="majorBidi" w:cstheme="majorBidi"/>
        </w:rPr>
        <w:t xml:space="preserve">a son </w:t>
      </w:r>
      <w:r w:rsidR="006909CC">
        <w:rPr>
          <w:rFonts w:asciiTheme="majorBidi" w:hAnsiTheme="majorBidi" w:cstheme="majorBidi"/>
        </w:rPr>
        <w:t>évaluation</w:t>
      </w:r>
      <w:r w:rsidR="00D85BDA" w:rsidRPr="00A673C2">
        <w:rPr>
          <w:rFonts w:asciiTheme="majorBidi" w:hAnsiTheme="majorBidi" w:cstheme="majorBidi"/>
        </w:rPr>
        <w:t>.</w:t>
      </w:r>
    </w:p>
    <w:p w:rsidR="00290F73" w:rsidRPr="00377D83" w:rsidRDefault="00290F73" w:rsidP="00B36C4A">
      <w:pPr>
        <w:pStyle w:val="Paragraphedeliste"/>
        <w:tabs>
          <w:tab w:val="left" w:pos="993"/>
        </w:tabs>
        <w:spacing w:line="360" w:lineRule="auto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A673C2">
        <w:rPr>
          <w:rFonts w:asciiTheme="majorBidi" w:eastAsiaTheme="minorEastAsia" w:hAnsiTheme="majorBidi" w:cstheme="majorBidi"/>
          <w:b/>
          <w:bCs/>
          <w:sz w:val="22"/>
          <w:szCs w:val="22"/>
          <w:u w:val="single"/>
        </w:rPr>
        <w:t>Date</w:t>
      </w:r>
      <w:r w:rsidR="00377D83">
        <w:rPr>
          <w:rFonts w:asciiTheme="majorBidi" w:eastAsiaTheme="minorEastAsia" w:hAnsiTheme="majorBidi" w:cstheme="majorBidi"/>
          <w:b/>
          <w:bCs/>
          <w:sz w:val="22"/>
          <w:szCs w:val="22"/>
          <w:u w:val="single"/>
        </w:rPr>
        <w:t>s</w:t>
      </w:r>
      <w:r w:rsidRPr="00A673C2">
        <w:rPr>
          <w:rFonts w:asciiTheme="majorBidi" w:eastAsiaTheme="minorEastAsia" w:hAnsiTheme="majorBidi" w:cstheme="majorBidi"/>
          <w:sz w:val="22"/>
          <w:szCs w:val="22"/>
        </w:rPr>
        <w:t xml:space="preserve"> : </w:t>
      </w:r>
      <w:r w:rsidR="00377D83">
        <w:rPr>
          <w:rFonts w:asciiTheme="majorBidi" w:eastAsiaTheme="minorEastAsia" w:hAnsiTheme="majorBidi" w:cstheme="majorBidi"/>
          <w:sz w:val="22"/>
          <w:szCs w:val="22"/>
        </w:rPr>
        <w:t xml:space="preserve">  </w:t>
      </w:r>
      <w:r w:rsidR="005E464A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w:r w:rsidR="00B36C4A">
        <w:rPr>
          <w:rFonts w:asciiTheme="majorBidi" w:eastAsiaTheme="minorEastAsia" w:hAnsiTheme="majorBidi" w:cstheme="majorBidi"/>
          <w:sz w:val="22"/>
          <w:szCs w:val="22"/>
        </w:rPr>
        <w:tab/>
      </w:r>
      <w:r w:rsidR="00927ED9" w:rsidRPr="00A673C2">
        <w:rPr>
          <w:rFonts w:asciiTheme="majorBidi" w:eastAsiaTheme="minorEastAsia" w:hAnsiTheme="majorBidi" w:cstheme="majorBidi"/>
          <w:sz w:val="22"/>
          <w:szCs w:val="22"/>
        </w:rPr>
        <w:t>V</w:t>
      </w:r>
      <w:r w:rsidR="00FD75DD" w:rsidRPr="00A673C2">
        <w:rPr>
          <w:rFonts w:asciiTheme="majorBidi" w:eastAsiaTheme="minorEastAsia" w:hAnsiTheme="majorBidi" w:cstheme="majorBidi"/>
          <w:sz w:val="22"/>
          <w:szCs w:val="22"/>
        </w:rPr>
        <w:t xml:space="preserve">endredi </w:t>
      </w:r>
      <w:r w:rsidR="00FD75DD" w:rsidRPr="00A673C2">
        <w:rPr>
          <w:rFonts w:asciiTheme="majorBidi" w:hAnsiTheme="majorBidi" w:cstheme="majorBidi"/>
          <w:sz w:val="22"/>
          <w:szCs w:val="22"/>
        </w:rPr>
        <w:t>2</w:t>
      </w:r>
      <w:r w:rsidR="00377D83">
        <w:rPr>
          <w:rFonts w:asciiTheme="majorBidi" w:hAnsiTheme="majorBidi" w:cstheme="majorBidi"/>
          <w:sz w:val="22"/>
          <w:szCs w:val="22"/>
        </w:rPr>
        <w:t>2</w:t>
      </w:r>
      <w:r w:rsidR="00FD75DD" w:rsidRPr="00A673C2">
        <w:rPr>
          <w:rFonts w:asciiTheme="majorBidi" w:hAnsiTheme="majorBidi" w:cstheme="majorBidi"/>
          <w:sz w:val="22"/>
          <w:szCs w:val="22"/>
        </w:rPr>
        <w:t xml:space="preserve"> </w:t>
      </w:r>
      <w:r w:rsidR="00FD75DD" w:rsidRPr="00A673C2">
        <w:rPr>
          <w:rFonts w:asciiTheme="majorBidi" w:eastAsiaTheme="minorEastAsia" w:hAnsiTheme="majorBidi" w:cstheme="majorBidi"/>
          <w:sz w:val="22"/>
          <w:szCs w:val="22"/>
        </w:rPr>
        <w:t>et samedi</w:t>
      </w:r>
      <w:r w:rsidR="00FD75DD" w:rsidRPr="00A673C2">
        <w:rPr>
          <w:rFonts w:asciiTheme="majorBidi" w:hAnsiTheme="majorBidi" w:cstheme="majorBidi"/>
          <w:sz w:val="22"/>
          <w:szCs w:val="22"/>
        </w:rPr>
        <w:t xml:space="preserve"> 2</w:t>
      </w:r>
      <w:r w:rsidR="00377D83">
        <w:rPr>
          <w:rFonts w:asciiTheme="majorBidi" w:hAnsiTheme="majorBidi" w:cstheme="majorBidi"/>
          <w:sz w:val="22"/>
          <w:szCs w:val="22"/>
        </w:rPr>
        <w:t>3 octobre</w:t>
      </w:r>
      <w:r w:rsidR="00FD75DD" w:rsidRPr="00A673C2">
        <w:rPr>
          <w:rFonts w:asciiTheme="majorBidi" w:hAnsiTheme="majorBidi" w:cstheme="majorBidi"/>
          <w:sz w:val="22"/>
          <w:szCs w:val="22"/>
        </w:rPr>
        <w:t xml:space="preserve"> 2021</w:t>
      </w:r>
    </w:p>
    <w:p w:rsidR="00290F73" w:rsidRDefault="005E464A" w:rsidP="00F724CE">
      <w:pPr>
        <w:pStyle w:val="Paragraphedeliste"/>
        <w:tabs>
          <w:tab w:val="left" w:pos="851"/>
        </w:tabs>
        <w:spacing w:line="360" w:lineRule="auto"/>
        <w:ind w:left="0" w:firstLine="851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eastAsiaTheme="minorEastAsia" w:hAnsiTheme="majorBidi" w:cstheme="majorBidi"/>
          <w:sz w:val="22"/>
          <w:szCs w:val="22"/>
        </w:rPr>
        <w:t xml:space="preserve">  </w:t>
      </w:r>
      <w:r w:rsidR="00377D83" w:rsidRPr="00A673C2">
        <w:rPr>
          <w:rFonts w:asciiTheme="majorBidi" w:eastAsiaTheme="minorEastAsia" w:hAnsiTheme="majorBidi" w:cstheme="majorBidi"/>
          <w:sz w:val="22"/>
          <w:szCs w:val="22"/>
        </w:rPr>
        <w:t xml:space="preserve">Vendredi </w:t>
      </w:r>
      <w:r w:rsidR="00377D83">
        <w:rPr>
          <w:rFonts w:asciiTheme="majorBidi" w:hAnsiTheme="majorBidi" w:cstheme="majorBidi"/>
          <w:sz w:val="22"/>
          <w:szCs w:val="22"/>
        </w:rPr>
        <w:t>10</w:t>
      </w:r>
      <w:r w:rsidR="00377D83" w:rsidRPr="00A673C2">
        <w:rPr>
          <w:rFonts w:asciiTheme="majorBidi" w:hAnsiTheme="majorBidi" w:cstheme="majorBidi"/>
          <w:sz w:val="22"/>
          <w:szCs w:val="22"/>
        </w:rPr>
        <w:t xml:space="preserve"> </w:t>
      </w:r>
      <w:r w:rsidR="00377D83" w:rsidRPr="00A673C2">
        <w:rPr>
          <w:rFonts w:asciiTheme="majorBidi" w:eastAsiaTheme="minorEastAsia" w:hAnsiTheme="majorBidi" w:cstheme="majorBidi"/>
          <w:sz w:val="22"/>
          <w:szCs w:val="22"/>
        </w:rPr>
        <w:t>et samedi</w:t>
      </w:r>
      <w:r w:rsidR="00377D83" w:rsidRPr="00A673C2">
        <w:rPr>
          <w:rFonts w:asciiTheme="majorBidi" w:hAnsiTheme="majorBidi" w:cstheme="majorBidi"/>
          <w:sz w:val="22"/>
          <w:szCs w:val="22"/>
        </w:rPr>
        <w:t xml:space="preserve"> </w:t>
      </w:r>
      <w:r w:rsidR="00377D83">
        <w:rPr>
          <w:rFonts w:asciiTheme="majorBidi" w:hAnsiTheme="majorBidi" w:cstheme="majorBidi"/>
          <w:sz w:val="22"/>
          <w:szCs w:val="22"/>
        </w:rPr>
        <w:t xml:space="preserve">11 décembre </w:t>
      </w:r>
      <w:r w:rsidR="00377D83" w:rsidRPr="00A673C2">
        <w:rPr>
          <w:rFonts w:asciiTheme="majorBidi" w:hAnsiTheme="majorBidi" w:cstheme="majorBidi"/>
          <w:sz w:val="22"/>
          <w:szCs w:val="22"/>
        </w:rPr>
        <w:t>2021</w:t>
      </w:r>
    </w:p>
    <w:p w:rsidR="00377D83" w:rsidRDefault="005E464A" w:rsidP="00F724CE">
      <w:pPr>
        <w:pStyle w:val="Paragraphedeliste"/>
        <w:tabs>
          <w:tab w:val="left" w:pos="851"/>
        </w:tabs>
        <w:spacing w:line="360" w:lineRule="auto"/>
        <w:ind w:left="0" w:firstLine="851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eastAsiaTheme="minorEastAsia" w:hAnsiTheme="majorBidi" w:cstheme="majorBidi"/>
          <w:sz w:val="22"/>
          <w:szCs w:val="22"/>
        </w:rPr>
        <w:t xml:space="preserve">  </w:t>
      </w:r>
      <w:r w:rsidR="00377D83" w:rsidRPr="00A673C2">
        <w:rPr>
          <w:rFonts w:asciiTheme="majorBidi" w:eastAsiaTheme="minorEastAsia" w:hAnsiTheme="majorBidi" w:cstheme="majorBidi"/>
          <w:sz w:val="22"/>
          <w:szCs w:val="22"/>
        </w:rPr>
        <w:t xml:space="preserve">Vendredi </w:t>
      </w:r>
      <w:r w:rsidR="00377D83">
        <w:rPr>
          <w:rFonts w:asciiTheme="majorBidi" w:hAnsiTheme="majorBidi" w:cstheme="majorBidi"/>
          <w:sz w:val="22"/>
          <w:szCs w:val="22"/>
        </w:rPr>
        <w:t>4</w:t>
      </w:r>
      <w:r w:rsidR="00377D83" w:rsidRPr="00A673C2">
        <w:rPr>
          <w:rFonts w:asciiTheme="majorBidi" w:hAnsiTheme="majorBidi" w:cstheme="majorBidi"/>
          <w:sz w:val="22"/>
          <w:szCs w:val="22"/>
        </w:rPr>
        <w:t xml:space="preserve"> </w:t>
      </w:r>
      <w:r w:rsidR="00377D83" w:rsidRPr="00A673C2">
        <w:rPr>
          <w:rFonts w:asciiTheme="majorBidi" w:eastAsiaTheme="minorEastAsia" w:hAnsiTheme="majorBidi" w:cstheme="majorBidi"/>
          <w:sz w:val="22"/>
          <w:szCs w:val="22"/>
        </w:rPr>
        <w:t>et samedi</w:t>
      </w:r>
      <w:r w:rsidR="00377D83" w:rsidRPr="00A673C2">
        <w:rPr>
          <w:rFonts w:asciiTheme="majorBidi" w:hAnsiTheme="majorBidi" w:cstheme="majorBidi"/>
          <w:sz w:val="22"/>
          <w:szCs w:val="22"/>
        </w:rPr>
        <w:t xml:space="preserve"> </w:t>
      </w:r>
      <w:r w:rsidR="00377D83">
        <w:rPr>
          <w:rFonts w:asciiTheme="majorBidi" w:hAnsiTheme="majorBidi" w:cstheme="majorBidi"/>
          <w:sz w:val="22"/>
          <w:szCs w:val="22"/>
        </w:rPr>
        <w:t xml:space="preserve">5 février </w:t>
      </w:r>
      <w:r w:rsidR="00377D83" w:rsidRPr="00A673C2">
        <w:rPr>
          <w:rFonts w:asciiTheme="majorBidi" w:hAnsiTheme="majorBidi" w:cstheme="majorBidi"/>
          <w:sz w:val="22"/>
          <w:szCs w:val="22"/>
        </w:rPr>
        <w:t>202</w:t>
      </w:r>
      <w:r w:rsidR="00377D83">
        <w:rPr>
          <w:rFonts w:asciiTheme="majorBidi" w:hAnsiTheme="majorBidi" w:cstheme="majorBidi"/>
          <w:sz w:val="22"/>
          <w:szCs w:val="22"/>
        </w:rPr>
        <w:t>2</w:t>
      </w:r>
    </w:p>
    <w:p w:rsidR="00657C5B" w:rsidRPr="00377D83" w:rsidRDefault="005E464A" w:rsidP="00F724CE">
      <w:pPr>
        <w:pStyle w:val="Paragraphedeliste"/>
        <w:tabs>
          <w:tab w:val="left" w:pos="851"/>
        </w:tabs>
        <w:spacing w:line="360" w:lineRule="auto"/>
        <w:ind w:left="0" w:firstLine="851"/>
        <w:jc w:val="both"/>
        <w:rPr>
          <w:rFonts w:asciiTheme="majorBidi" w:eastAsiaTheme="minorEastAsia" w:hAnsiTheme="majorBidi" w:cstheme="majorBidi"/>
          <w:sz w:val="22"/>
          <w:szCs w:val="22"/>
        </w:rPr>
      </w:pPr>
      <w:r>
        <w:rPr>
          <w:rFonts w:asciiTheme="majorBidi" w:eastAsiaTheme="minorEastAsia" w:hAnsiTheme="majorBidi" w:cstheme="majorBidi"/>
          <w:sz w:val="22"/>
          <w:szCs w:val="22"/>
        </w:rPr>
        <w:t xml:space="preserve">  </w:t>
      </w:r>
      <w:r w:rsidR="00657C5B" w:rsidRPr="00A673C2">
        <w:rPr>
          <w:rFonts w:asciiTheme="majorBidi" w:eastAsiaTheme="minorEastAsia" w:hAnsiTheme="majorBidi" w:cstheme="majorBidi"/>
          <w:sz w:val="22"/>
          <w:szCs w:val="22"/>
        </w:rPr>
        <w:t xml:space="preserve">Vendredi </w:t>
      </w:r>
      <w:r w:rsidR="00657C5B">
        <w:rPr>
          <w:rFonts w:asciiTheme="majorBidi" w:hAnsiTheme="majorBidi" w:cstheme="majorBidi"/>
          <w:sz w:val="22"/>
          <w:szCs w:val="22"/>
        </w:rPr>
        <w:t>25</w:t>
      </w:r>
      <w:r w:rsidR="00657C5B" w:rsidRPr="00A673C2">
        <w:rPr>
          <w:rFonts w:asciiTheme="majorBidi" w:hAnsiTheme="majorBidi" w:cstheme="majorBidi"/>
          <w:sz w:val="22"/>
          <w:szCs w:val="22"/>
        </w:rPr>
        <w:t xml:space="preserve"> </w:t>
      </w:r>
      <w:r w:rsidR="00657C5B" w:rsidRPr="00A673C2">
        <w:rPr>
          <w:rFonts w:asciiTheme="majorBidi" w:eastAsiaTheme="minorEastAsia" w:hAnsiTheme="majorBidi" w:cstheme="majorBidi"/>
          <w:sz w:val="22"/>
          <w:szCs w:val="22"/>
        </w:rPr>
        <w:t>et samedi</w:t>
      </w:r>
      <w:r w:rsidR="00657C5B" w:rsidRPr="00A673C2">
        <w:rPr>
          <w:rFonts w:asciiTheme="majorBidi" w:hAnsiTheme="majorBidi" w:cstheme="majorBidi"/>
          <w:sz w:val="22"/>
          <w:szCs w:val="22"/>
        </w:rPr>
        <w:t xml:space="preserve"> </w:t>
      </w:r>
      <w:r w:rsidR="00657C5B">
        <w:rPr>
          <w:rFonts w:asciiTheme="majorBidi" w:hAnsiTheme="majorBidi" w:cstheme="majorBidi"/>
          <w:sz w:val="22"/>
          <w:szCs w:val="22"/>
        </w:rPr>
        <w:t xml:space="preserve">26 mars </w:t>
      </w:r>
      <w:r w:rsidR="00657C5B" w:rsidRPr="00A673C2">
        <w:rPr>
          <w:rFonts w:asciiTheme="majorBidi" w:hAnsiTheme="majorBidi" w:cstheme="majorBidi"/>
          <w:sz w:val="22"/>
          <w:szCs w:val="22"/>
        </w:rPr>
        <w:t>202</w:t>
      </w:r>
      <w:r w:rsidR="00657C5B">
        <w:rPr>
          <w:rFonts w:asciiTheme="majorBidi" w:hAnsiTheme="majorBidi" w:cstheme="majorBidi"/>
          <w:sz w:val="22"/>
          <w:szCs w:val="22"/>
        </w:rPr>
        <w:t>2</w:t>
      </w:r>
    </w:p>
    <w:p w:rsidR="00657C5B" w:rsidRPr="00377D83" w:rsidRDefault="005E464A" w:rsidP="004D3F45">
      <w:pPr>
        <w:pStyle w:val="Paragraphedeliste"/>
        <w:tabs>
          <w:tab w:val="left" w:pos="851"/>
        </w:tabs>
        <w:spacing w:line="360" w:lineRule="auto"/>
        <w:ind w:left="0" w:firstLine="851"/>
        <w:jc w:val="both"/>
        <w:rPr>
          <w:rFonts w:asciiTheme="majorBidi" w:eastAsiaTheme="minorEastAsia" w:hAnsiTheme="majorBidi" w:cstheme="majorBidi"/>
          <w:sz w:val="22"/>
          <w:szCs w:val="22"/>
        </w:rPr>
      </w:pPr>
      <w:r>
        <w:rPr>
          <w:rFonts w:asciiTheme="majorBidi" w:eastAsiaTheme="minorEastAsia" w:hAnsiTheme="majorBidi" w:cstheme="majorBidi"/>
          <w:sz w:val="22"/>
          <w:szCs w:val="22"/>
        </w:rPr>
        <w:t xml:space="preserve">  </w:t>
      </w:r>
      <w:r w:rsidR="00657C5B" w:rsidRPr="00A673C2">
        <w:rPr>
          <w:rFonts w:asciiTheme="majorBidi" w:eastAsiaTheme="minorEastAsia" w:hAnsiTheme="majorBidi" w:cstheme="majorBidi"/>
          <w:sz w:val="22"/>
          <w:szCs w:val="22"/>
        </w:rPr>
        <w:t xml:space="preserve">Vendredi </w:t>
      </w:r>
      <w:r w:rsidR="004D3F45">
        <w:rPr>
          <w:rFonts w:asciiTheme="majorBidi" w:hAnsiTheme="majorBidi" w:cstheme="majorBidi"/>
          <w:sz w:val="22"/>
          <w:szCs w:val="22"/>
        </w:rPr>
        <w:t>10</w:t>
      </w:r>
      <w:r w:rsidR="00657C5B" w:rsidRPr="00A673C2">
        <w:rPr>
          <w:rFonts w:asciiTheme="majorBidi" w:hAnsiTheme="majorBidi" w:cstheme="majorBidi"/>
          <w:sz w:val="22"/>
          <w:szCs w:val="22"/>
        </w:rPr>
        <w:t xml:space="preserve"> </w:t>
      </w:r>
      <w:r w:rsidR="00657C5B" w:rsidRPr="00A673C2">
        <w:rPr>
          <w:rFonts w:asciiTheme="majorBidi" w:eastAsiaTheme="minorEastAsia" w:hAnsiTheme="majorBidi" w:cstheme="majorBidi"/>
          <w:sz w:val="22"/>
          <w:szCs w:val="22"/>
        </w:rPr>
        <w:t>et samedi</w:t>
      </w:r>
      <w:r w:rsidR="00657C5B" w:rsidRPr="00A673C2">
        <w:rPr>
          <w:rFonts w:asciiTheme="majorBidi" w:hAnsiTheme="majorBidi" w:cstheme="majorBidi"/>
          <w:sz w:val="22"/>
          <w:szCs w:val="22"/>
        </w:rPr>
        <w:t xml:space="preserve"> </w:t>
      </w:r>
      <w:r w:rsidR="004D3F45">
        <w:rPr>
          <w:rFonts w:asciiTheme="majorBidi" w:hAnsiTheme="majorBidi" w:cstheme="majorBidi"/>
          <w:sz w:val="22"/>
          <w:szCs w:val="22"/>
        </w:rPr>
        <w:t>11</w:t>
      </w:r>
      <w:r w:rsidR="00657C5B">
        <w:rPr>
          <w:rFonts w:asciiTheme="majorBidi" w:hAnsiTheme="majorBidi" w:cstheme="majorBidi"/>
          <w:sz w:val="22"/>
          <w:szCs w:val="22"/>
        </w:rPr>
        <w:t xml:space="preserve"> </w:t>
      </w:r>
      <w:r w:rsidR="004D3F45">
        <w:rPr>
          <w:rFonts w:asciiTheme="majorBidi" w:hAnsiTheme="majorBidi" w:cstheme="majorBidi"/>
          <w:sz w:val="22"/>
          <w:szCs w:val="22"/>
        </w:rPr>
        <w:t>juin</w:t>
      </w:r>
      <w:r w:rsidR="00657C5B">
        <w:rPr>
          <w:rFonts w:asciiTheme="majorBidi" w:hAnsiTheme="majorBidi" w:cstheme="majorBidi"/>
          <w:sz w:val="22"/>
          <w:szCs w:val="22"/>
        </w:rPr>
        <w:t xml:space="preserve"> </w:t>
      </w:r>
      <w:r w:rsidR="00657C5B" w:rsidRPr="00A673C2">
        <w:rPr>
          <w:rFonts w:asciiTheme="majorBidi" w:hAnsiTheme="majorBidi" w:cstheme="majorBidi"/>
          <w:sz w:val="22"/>
          <w:szCs w:val="22"/>
        </w:rPr>
        <w:t>202</w:t>
      </w:r>
      <w:r w:rsidR="00657C5B">
        <w:rPr>
          <w:rFonts w:asciiTheme="majorBidi" w:hAnsiTheme="majorBidi" w:cstheme="majorBidi"/>
          <w:sz w:val="22"/>
          <w:szCs w:val="22"/>
        </w:rPr>
        <w:t>2</w:t>
      </w:r>
    </w:p>
    <w:p w:rsidR="00290F73" w:rsidRPr="00A673C2" w:rsidRDefault="00657C5B" w:rsidP="004D3F45">
      <w:pPr>
        <w:pStyle w:val="Paragraphedeliste"/>
        <w:tabs>
          <w:tab w:val="left" w:pos="851"/>
        </w:tabs>
        <w:spacing w:line="360" w:lineRule="auto"/>
        <w:ind w:left="0"/>
        <w:jc w:val="both"/>
        <w:rPr>
          <w:rFonts w:asciiTheme="majorBidi" w:eastAsiaTheme="minorEastAsia" w:hAnsiTheme="majorBidi" w:cstheme="majorBidi"/>
          <w:sz w:val="22"/>
          <w:szCs w:val="22"/>
        </w:rPr>
      </w:pPr>
      <w:r>
        <w:rPr>
          <w:rFonts w:asciiTheme="majorBidi" w:eastAsiaTheme="minorEastAsia" w:hAnsiTheme="majorBidi" w:cstheme="majorBidi"/>
          <w:b/>
          <w:bCs/>
          <w:sz w:val="22"/>
          <w:szCs w:val="22"/>
          <w:u w:val="single"/>
        </w:rPr>
        <w:t xml:space="preserve">Lieu </w:t>
      </w:r>
      <w:r w:rsidRPr="00A673C2">
        <w:rPr>
          <w:rFonts w:asciiTheme="majorBidi" w:eastAsiaTheme="minorEastAsia" w:hAnsiTheme="majorBidi" w:cstheme="majorBidi"/>
          <w:b/>
          <w:bCs/>
          <w:sz w:val="22"/>
          <w:szCs w:val="22"/>
          <w:u w:val="single"/>
        </w:rPr>
        <w:t xml:space="preserve">et </w:t>
      </w:r>
      <w:r>
        <w:rPr>
          <w:rFonts w:asciiTheme="majorBidi" w:eastAsiaTheme="minorEastAsia" w:hAnsiTheme="majorBidi" w:cstheme="majorBidi"/>
          <w:b/>
          <w:bCs/>
          <w:sz w:val="22"/>
          <w:szCs w:val="22"/>
          <w:u w:val="single"/>
        </w:rPr>
        <w:t>h</w:t>
      </w:r>
      <w:r w:rsidR="00290F73" w:rsidRPr="00A673C2">
        <w:rPr>
          <w:rFonts w:asciiTheme="majorBidi" w:eastAsiaTheme="minorEastAsia" w:hAnsiTheme="majorBidi" w:cstheme="majorBidi"/>
          <w:b/>
          <w:bCs/>
          <w:sz w:val="22"/>
          <w:szCs w:val="22"/>
          <w:u w:val="single"/>
        </w:rPr>
        <w:t>oraire</w:t>
      </w:r>
      <w:r w:rsidR="00290F73" w:rsidRPr="00A673C2">
        <w:rPr>
          <w:rFonts w:asciiTheme="majorBidi" w:eastAsiaTheme="minorEastAsia" w:hAnsiTheme="majorBidi" w:cstheme="majorBidi"/>
          <w:b/>
          <w:bCs/>
          <w:sz w:val="22"/>
          <w:szCs w:val="22"/>
        </w:rPr>
        <w:t> :</w:t>
      </w:r>
      <w:r w:rsidR="00290F73" w:rsidRPr="00A673C2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w:r>
        <w:rPr>
          <w:rFonts w:asciiTheme="majorBidi" w:eastAsiaTheme="minorEastAsia" w:hAnsiTheme="majorBidi" w:cstheme="majorBidi"/>
          <w:sz w:val="22"/>
          <w:szCs w:val="22"/>
        </w:rPr>
        <w:t>M</w:t>
      </w:r>
      <w:r w:rsidR="00377D83" w:rsidRPr="00A673C2">
        <w:rPr>
          <w:rFonts w:asciiTheme="majorBidi" w:eastAsiaTheme="minorEastAsia" w:hAnsiTheme="majorBidi" w:cstheme="majorBidi"/>
          <w:sz w:val="22"/>
          <w:szCs w:val="22"/>
        </w:rPr>
        <w:t xml:space="preserve">édiathèque pour les encadrants et </w:t>
      </w:r>
      <w:r w:rsidR="004D3F45">
        <w:rPr>
          <w:rFonts w:asciiTheme="majorBidi" w:eastAsiaTheme="minorEastAsia" w:hAnsiTheme="majorBidi" w:cstheme="majorBidi"/>
          <w:sz w:val="22"/>
          <w:szCs w:val="22"/>
        </w:rPr>
        <w:t>S</w:t>
      </w:r>
      <w:r w:rsidR="00377D83" w:rsidRPr="00A673C2">
        <w:rPr>
          <w:rFonts w:asciiTheme="majorBidi" w:eastAsiaTheme="minorEastAsia" w:hAnsiTheme="majorBidi" w:cstheme="majorBidi"/>
          <w:sz w:val="22"/>
          <w:szCs w:val="22"/>
        </w:rPr>
        <w:t xml:space="preserve">alle </w:t>
      </w:r>
      <w:r w:rsidR="004D3F45">
        <w:rPr>
          <w:rFonts w:asciiTheme="majorBidi" w:eastAsiaTheme="minorEastAsia" w:hAnsiTheme="majorBidi" w:cstheme="majorBidi"/>
          <w:sz w:val="22"/>
          <w:szCs w:val="22"/>
        </w:rPr>
        <w:t>(à préciser)</w:t>
      </w:r>
      <w:r w:rsidR="00377D83" w:rsidRPr="00A673C2">
        <w:rPr>
          <w:rFonts w:asciiTheme="majorBidi" w:eastAsiaTheme="minorEastAsia" w:hAnsiTheme="majorBidi" w:cstheme="majorBidi"/>
          <w:sz w:val="22"/>
          <w:szCs w:val="22"/>
        </w:rPr>
        <w:t xml:space="preserve"> pour les candidats</w:t>
      </w:r>
      <w:r>
        <w:rPr>
          <w:rFonts w:asciiTheme="majorBidi" w:eastAsiaTheme="minorEastAsia" w:hAnsiTheme="majorBidi" w:cstheme="majorBidi"/>
          <w:sz w:val="22"/>
          <w:szCs w:val="22"/>
        </w:rPr>
        <w:t xml:space="preserve">, </w:t>
      </w:r>
      <w:r w:rsidR="00290F73" w:rsidRPr="00A673C2">
        <w:rPr>
          <w:rFonts w:asciiTheme="majorBidi" w:eastAsiaTheme="minorEastAsia" w:hAnsiTheme="majorBidi" w:cstheme="majorBidi"/>
          <w:sz w:val="22"/>
          <w:szCs w:val="22"/>
        </w:rPr>
        <w:t>de 8h à 1</w:t>
      </w:r>
      <w:r>
        <w:rPr>
          <w:rFonts w:asciiTheme="majorBidi" w:eastAsiaTheme="minorEastAsia" w:hAnsiTheme="majorBidi" w:cstheme="majorBidi"/>
          <w:sz w:val="22"/>
          <w:szCs w:val="22"/>
        </w:rPr>
        <w:t>7</w:t>
      </w:r>
      <w:r w:rsidR="00290F73" w:rsidRPr="00A673C2">
        <w:rPr>
          <w:rFonts w:asciiTheme="majorBidi" w:eastAsiaTheme="minorEastAsia" w:hAnsiTheme="majorBidi" w:cstheme="majorBidi"/>
          <w:sz w:val="22"/>
          <w:szCs w:val="22"/>
        </w:rPr>
        <w:t>h30</w:t>
      </w:r>
    </w:p>
    <w:p w:rsidR="00290F73" w:rsidRPr="00A673C2" w:rsidRDefault="00290F73" w:rsidP="00F724CE">
      <w:pPr>
        <w:pStyle w:val="Paragraphedeliste"/>
        <w:tabs>
          <w:tab w:val="left" w:pos="851"/>
        </w:tabs>
        <w:spacing w:line="360" w:lineRule="auto"/>
        <w:ind w:left="0"/>
        <w:jc w:val="both"/>
        <w:rPr>
          <w:rFonts w:asciiTheme="majorBidi" w:eastAsiaTheme="minorEastAsia" w:hAnsiTheme="majorBidi" w:cstheme="majorBidi"/>
          <w:sz w:val="22"/>
          <w:szCs w:val="22"/>
          <w:u w:val="single"/>
        </w:rPr>
      </w:pPr>
      <w:r w:rsidRPr="00A673C2">
        <w:rPr>
          <w:rFonts w:asciiTheme="majorBidi" w:eastAsiaTheme="minorEastAsia" w:hAnsiTheme="majorBidi" w:cstheme="majorBidi"/>
          <w:b/>
          <w:bCs/>
          <w:sz w:val="22"/>
          <w:szCs w:val="22"/>
          <w:u w:val="single"/>
        </w:rPr>
        <w:t>Programme</w:t>
      </w:r>
      <w:r w:rsidRPr="00A673C2">
        <w:rPr>
          <w:rFonts w:asciiTheme="majorBidi" w:eastAsiaTheme="minorEastAsia" w:hAnsiTheme="majorBidi" w:cstheme="majorBidi"/>
          <w:b/>
          <w:bCs/>
          <w:sz w:val="22"/>
          <w:szCs w:val="22"/>
        </w:rPr>
        <w:t> :</w:t>
      </w:r>
      <w:r w:rsidRPr="00A673C2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</w:p>
    <w:p w:rsidR="004D3F45" w:rsidRDefault="00290F73" w:rsidP="00B36C4A">
      <w:pPr>
        <w:pStyle w:val="Paragraphedeliste"/>
        <w:numPr>
          <w:ilvl w:val="0"/>
          <w:numId w:val="2"/>
        </w:numPr>
        <w:spacing w:line="360" w:lineRule="auto"/>
        <w:ind w:left="993" w:hanging="273"/>
        <w:jc w:val="both"/>
        <w:rPr>
          <w:rFonts w:asciiTheme="majorBidi" w:hAnsiTheme="majorBidi" w:cstheme="majorBidi"/>
          <w:sz w:val="22"/>
          <w:szCs w:val="22"/>
        </w:rPr>
      </w:pPr>
      <w:r w:rsidRPr="00A673C2">
        <w:rPr>
          <w:rFonts w:asciiTheme="majorBidi" w:hAnsiTheme="majorBidi" w:cstheme="majorBidi"/>
          <w:sz w:val="22"/>
          <w:szCs w:val="22"/>
        </w:rPr>
        <w:t>Objectifs</w:t>
      </w:r>
      <w:r w:rsidR="00657C5B">
        <w:rPr>
          <w:rFonts w:asciiTheme="majorBidi" w:hAnsiTheme="majorBidi" w:cstheme="majorBidi"/>
          <w:sz w:val="22"/>
          <w:szCs w:val="22"/>
        </w:rPr>
        <w:t xml:space="preserve"> et</w:t>
      </w:r>
      <w:r w:rsidRPr="00A673C2">
        <w:rPr>
          <w:rFonts w:asciiTheme="majorBidi" w:hAnsiTheme="majorBidi" w:cstheme="majorBidi"/>
          <w:sz w:val="22"/>
          <w:szCs w:val="22"/>
        </w:rPr>
        <w:t xml:space="preserve"> procédures </w:t>
      </w:r>
      <w:r w:rsidR="00657C5B">
        <w:rPr>
          <w:rFonts w:asciiTheme="majorBidi" w:hAnsiTheme="majorBidi" w:cstheme="majorBidi"/>
          <w:sz w:val="22"/>
          <w:szCs w:val="22"/>
        </w:rPr>
        <w:t>d’une thèse et d’un mémoire</w:t>
      </w:r>
    </w:p>
    <w:p w:rsidR="00290F73" w:rsidRPr="00A673C2" w:rsidRDefault="004D3F45" w:rsidP="00B36C4A">
      <w:pPr>
        <w:pStyle w:val="Paragraphedeliste"/>
        <w:numPr>
          <w:ilvl w:val="0"/>
          <w:numId w:val="2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</w:t>
      </w:r>
      <w:r w:rsidR="00290F73" w:rsidRPr="00A673C2">
        <w:rPr>
          <w:rFonts w:asciiTheme="majorBidi" w:hAnsiTheme="majorBidi" w:cstheme="majorBidi"/>
          <w:sz w:val="22"/>
          <w:szCs w:val="22"/>
        </w:rPr>
        <w:t xml:space="preserve">lace de l’éthique médicale dans la </w:t>
      </w:r>
      <w:r w:rsidR="000F654C" w:rsidRPr="00A673C2">
        <w:rPr>
          <w:rFonts w:asciiTheme="majorBidi" w:hAnsiTheme="majorBidi" w:cstheme="majorBidi"/>
          <w:sz w:val="22"/>
          <w:szCs w:val="22"/>
        </w:rPr>
        <w:t>recherche clinique et la publication</w:t>
      </w:r>
    </w:p>
    <w:p w:rsidR="00290F73" w:rsidRPr="00A673C2" w:rsidRDefault="00B36C4A" w:rsidP="00F724CE">
      <w:pPr>
        <w:pStyle w:val="Paragraphedeliste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3</w:t>
      </w:r>
      <w:r w:rsidR="00290F73" w:rsidRPr="00A673C2">
        <w:rPr>
          <w:rFonts w:asciiTheme="majorBidi" w:hAnsiTheme="majorBidi" w:cstheme="majorBidi"/>
          <w:sz w:val="22"/>
          <w:szCs w:val="22"/>
        </w:rPr>
        <w:t xml:space="preserve">. Recherche </w:t>
      </w:r>
      <w:r w:rsidR="004C030A" w:rsidRPr="00A673C2">
        <w:rPr>
          <w:rFonts w:asciiTheme="majorBidi" w:hAnsiTheme="majorBidi" w:cstheme="majorBidi"/>
          <w:sz w:val="22"/>
          <w:szCs w:val="22"/>
        </w:rPr>
        <w:t>bibliographique</w:t>
      </w:r>
      <w:r w:rsidR="00290F73" w:rsidRPr="00A673C2">
        <w:rPr>
          <w:rFonts w:asciiTheme="majorBidi" w:hAnsiTheme="majorBidi" w:cstheme="majorBidi"/>
          <w:sz w:val="22"/>
          <w:szCs w:val="22"/>
        </w:rPr>
        <w:t xml:space="preserve"> dans une base internationale</w:t>
      </w:r>
    </w:p>
    <w:p w:rsidR="00290F73" w:rsidRPr="00A673C2" w:rsidRDefault="00B36C4A" w:rsidP="00F724CE">
      <w:pPr>
        <w:pStyle w:val="Paragraphedeliste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4</w:t>
      </w:r>
      <w:r w:rsidR="00290F73" w:rsidRPr="00A673C2">
        <w:rPr>
          <w:rFonts w:asciiTheme="majorBidi" w:hAnsiTheme="majorBidi" w:cstheme="majorBidi"/>
          <w:sz w:val="22"/>
          <w:szCs w:val="22"/>
        </w:rPr>
        <w:t xml:space="preserve">. Méthodes </w:t>
      </w:r>
      <w:r w:rsidR="00657C5B">
        <w:rPr>
          <w:rFonts w:asciiTheme="majorBidi" w:hAnsiTheme="majorBidi" w:cstheme="majorBidi"/>
          <w:sz w:val="22"/>
          <w:szCs w:val="22"/>
        </w:rPr>
        <w:t>et p</w:t>
      </w:r>
      <w:r w:rsidR="00290F73" w:rsidRPr="00A673C2">
        <w:rPr>
          <w:rFonts w:asciiTheme="majorBidi" w:hAnsiTheme="majorBidi" w:cstheme="majorBidi"/>
          <w:sz w:val="22"/>
          <w:szCs w:val="22"/>
        </w:rPr>
        <w:t>rotocoles de recherche</w:t>
      </w:r>
    </w:p>
    <w:p w:rsidR="000776CF" w:rsidRDefault="00B36C4A" w:rsidP="00F724CE">
      <w:pPr>
        <w:pStyle w:val="Paragraphedeliste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5</w:t>
      </w:r>
      <w:r w:rsidR="00290F73" w:rsidRPr="00A673C2">
        <w:rPr>
          <w:rFonts w:asciiTheme="majorBidi" w:hAnsiTheme="majorBidi" w:cstheme="majorBidi"/>
          <w:sz w:val="22"/>
          <w:szCs w:val="22"/>
        </w:rPr>
        <w:t xml:space="preserve">. </w:t>
      </w:r>
      <w:r w:rsidR="000776CF">
        <w:rPr>
          <w:rFonts w:asciiTheme="majorBidi" w:eastAsiaTheme="minorEastAsia" w:hAnsiTheme="majorBidi" w:cstheme="majorBidi"/>
          <w:sz w:val="22"/>
          <w:szCs w:val="22"/>
        </w:rPr>
        <w:t xml:space="preserve">Utilisation du logiciel détecteur de similitudes </w:t>
      </w:r>
      <w:proofErr w:type="spellStart"/>
      <w:r w:rsidR="000776CF">
        <w:rPr>
          <w:rFonts w:asciiTheme="majorBidi" w:eastAsiaTheme="minorEastAsia" w:hAnsiTheme="majorBidi" w:cstheme="majorBidi"/>
          <w:sz w:val="22"/>
          <w:szCs w:val="22"/>
        </w:rPr>
        <w:t>Ouriginal</w:t>
      </w:r>
      <w:proofErr w:type="spellEnd"/>
      <w:r w:rsidR="000776CF" w:rsidRPr="00A673C2">
        <w:rPr>
          <w:rFonts w:asciiTheme="majorBidi" w:hAnsiTheme="majorBidi" w:cstheme="majorBidi"/>
          <w:sz w:val="22"/>
          <w:szCs w:val="22"/>
        </w:rPr>
        <w:t xml:space="preserve"> </w:t>
      </w:r>
    </w:p>
    <w:p w:rsidR="00290F73" w:rsidRPr="00A673C2" w:rsidRDefault="00B36C4A" w:rsidP="00F724CE">
      <w:pPr>
        <w:pStyle w:val="Paragraphedeliste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6</w:t>
      </w:r>
      <w:r w:rsidR="000776CF">
        <w:rPr>
          <w:rFonts w:asciiTheme="majorBidi" w:hAnsiTheme="majorBidi" w:cstheme="majorBidi"/>
          <w:sz w:val="22"/>
          <w:szCs w:val="22"/>
        </w:rPr>
        <w:t xml:space="preserve">. </w:t>
      </w:r>
      <w:r w:rsidR="009F0363">
        <w:rPr>
          <w:rFonts w:asciiTheme="majorBidi" w:hAnsiTheme="majorBidi" w:cstheme="majorBidi"/>
          <w:sz w:val="22"/>
          <w:szCs w:val="22"/>
        </w:rPr>
        <w:t>R</w:t>
      </w:r>
      <w:r w:rsidR="000776CF" w:rsidRPr="00A673C2">
        <w:rPr>
          <w:rFonts w:asciiTheme="majorBidi" w:hAnsiTheme="majorBidi" w:cstheme="majorBidi"/>
          <w:sz w:val="22"/>
          <w:szCs w:val="22"/>
        </w:rPr>
        <w:t xml:space="preserve">édaction </w:t>
      </w:r>
      <w:r w:rsidR="000776CF">
        <w:rPr>
          <w:rFonts w:asciiTheme="majorBidi" w:hAnsiTheme="majorBidi" w:cstheme="majorBidi"/>
          <w:sz w:val="22"/>
          <w:szCs w:val="22"/>
        </w:rPr>
        <w:t>médicale : r</w:t>
      </w:r>
      <w:r w:rsidR="00290F73" w:rsidRPr="00A673C2">
        <w:rPr>
          <w:rFonts w:asciiTheme="majorBidi" w:hAnsiTheme="majorBidi" w:cstheme="majorBidi"/>
          <w:sz w:val="22"/>
          <w:szCs w:val="22"/>
        </w:rPr>
        <w:t xml:space="preserve">ègles </w:t>
      </w:r>
      <w:r w:rsidR="000776CF">
        <w:rPr>
          <w:rFonts w:asciiTheme="majorBidi" w:hAnsiTheme="majorBidi" w:cstheme="majorBidi"/>
          <w:sz w:val="22"/>
          <w:szCs w:val="22"/>
        </w:rPr>
        <w:t>générales et règles spécifiques à chaque chapitre d’un travail scientifique</w:t>
      </w:r>
    </w:p>
    <w:p w:rsidR="00290F73" w:rsidRPr="00A673C2" w:rsidRDefault="00290F73" w:rsidP="00F724CE">
      <w:pPr>
        <w:spacing w:after="0" w:line="360" w:lineRule="auto"/>
        <w:jc w:val="both"/>
        <w:rPr>
          <w:rFonts w:asciiTheme="majorBidi" w:hAnsiTheme="majorBidi" w:cstheme="majorBidi"/>
        </w:rPr>
      </w:pPr>
      <w:r w:rsidRPr="00A673C2">
        <w:rPr>
          <w:rFonts w:asciiTheme="majorBidi" w:hAnsiTheme="majorBidi" w:cstheme="majorBidi"/>
          <w:b/>
          <w:bCs/>
          <w:i/>
          <w:iCs/>
        </w:rPr>
        <w:t>Remarque </w:t>
      </w:r>
      <w:r w:rsidRPr="00A673C2">
        <w:rPr>
          <w:rFonts w:asciiTheme="majorBidi" w:hAnsiTheme="majorBidi" w:cstheme="majorBidi"/>
        </w:rPr>
        <w:t xml:space="preserve">: les participants doivent </w:t>
      </w:r>
      <w:r w:rsidR="004C030A" w:rsidRPr="00A673C2">
        <w:rPr>
          <w:rFonts w:asciiTheme="majorBidi" w:hAnsiTheme="majorBidi" w:cstheme="majorBidi"/>
        </w:rPr>
        <w:t>se munir</w:t>
      </w:r>
      <w:r w:rsidRPr="00A673C2">
        <w:rPr>
          <w:rFonts w:asciiTheme="majorBidi" w:hAnsiTheme="majorBidi" w:cstheme="majorBidi"/>
        </w:rPr>
        <w:t xml:space="preserve"> d’une thèse </w:t>
      </w:r>
      <w:r w:rsidR="004C030A" w:rsidRPr="00A673C2">
        <w:rPr>
          <w:rFonts w:asciiTheme="majorBidi" w:hAnsiTheme="majorBidi" w:cstheme="majorBidi"/>
        </w:rPr>
        <w:t xml:space="preserve">ou d’un mémoire </w:t>
      </w:r>
      <w:r w:rsidRPr="00A673C2">
        <w:rPr>
          <w:rFonts w:asciiTheme="majorBidi" w:hAnsiTheme="majorBidi" w:cstheme="majorBidi"/>
        </w:rPr>
        <w:t xml:space="preserve">en cours d’élaboration (copie papier ou de préférence sur clé USB incluant la </w:t>
      </w:r>
      <w:r w:rsidR="00927ED9" w:rsidRPr="00A673C2">
        <w:rPr>
          <w:rFonts w:asciiTheme="majorBidi" w:hAnsiTheme="majorBidi" w:cstheme="majorBidi"/>
        </w:rPr>
        <w:t>demande</w:t>
      </w:r>
      <w:r w:rsidRPr="00A673C2">
        <w:rPr>
          <w:rFonts w:asciiTheme="majorBidi" w:hAnsiTheme="majorBidi" w:cstheme="majorBidi"/>
        </w:rPr>
        <w:t xml:space="preserve"> d’inscription</w:t>
      </w:r>
      <w:r w:rsidR="00927ED9" w:rsidRPr="00A673C2">
        <w:rPr>
          <w:rFonts w:asciiTheme="majorBidi" w:hAnsiTheme="majorBidi" w:cstheme="majorBidi"/>
        </w:rPr>
        <w:t xml:space="preserve"> du sujet</w:t>
      </w:r>
      <w:r w:rsidRPr="00A673C2">
        <w:rPr>
          <w:rFonts w:asciiTheme="majorBidi" w:hAnsiTheme="majorBidi" w:cstheme="majorBidi"/>
        </w:rPr>
        <w:t>, le chapitre « Méthodes »</w:t>
      </w:r>
      <w:r w:rsidR="00927ED9" w:rsidRPr="00A673C2">
        <w:rPr>
          <w:rFonts w:asciiTheme="majorBidi" w:hAnsiTheme="majorBidi" w:cstheme="majorBidi"/>
        </w:rPr>
        <w:t>, le résumé</w:t>
      </w:r>
      <w:r w:rsidRPr="00A673C2">
        <w:rPr>
          <w:rFonts w:asciiTheme="majorBidi" w:hAnsiTheme="majorBidi" w:cstheme="majorBidi"/>
        </w:rPr>
        <w:t>,</w:t>
      </w:r>
      <w:r w:rsidR="00927ED9" w:rsidRPr="00A673C2">
        <w:rPr>
          <w:rFonts w:asciiTheme="majorBidi" w:hAnsiTheme="majorBidi" w:cstheme="majorBidi"/>
        </w:rPr>
        <w:t xml:space="preserve"> les</w:t>
      </w:r>
      <w:r w:rsidRPr="00A673C2">
        <w:rPr>
          <w:rFonts w:asciiTheme="majorBidi" w:hAnsiTheme="majorBidi" w:cstheme="majorBidi"/>
        </w:rPr>
        <w:t xml:space="preserve"> conclusions et </w:t>
      </w:r>
      <w:r w:rsidR="00927ED9" w:rsidRPr="00A673C2">
        <w:rPr>
          <w:rFonts w:asciiTheme="majorBidi" w:hAnsiTheme="majorBidi" w:cstheme="majorBidi"/>
        </w:rPr>
        <w:t xml:space="preserve">les </w:t>
      </w:r>
      <w:r w:rsidRPr="00A673C2">
        <w:rPr>
          <w:rFonts w:asciiTheme="majorBidi" w:hAnsiTheme="majorBidi" w:cstheme="majorBidi"/>
        </w:rPr>
        <w:t>références).</w:t>
      </w:r>
    </w:p>
    <w:p w:rsidR="00F724CE" w:rsidRPr="00A673C2" w:rsidRDefault="00F724CE" w:rsidP="00F724CE">
      <w:pPr>
        <w:spacing w:after="0" w:line="360" w:lineRule="auto"/>
        <w:jc w:val="both"/>
        <w:rPr>
          <w:rFonts w:asciiTheme="majorBidi" w:hAnsiTheme="majorBidi" w:cstheme="majorBidi"/>
        </w:rPr>
      </w:pPr>
      <w:r w:rsidRPr="00A673C2">
        <w:rPr>
          <w:rFonts w:asciiTheme="majorBidi" w:hAnsiTheme="majorBidi" w:cstheme="majorBidi"/>
          <w:b/>
          <w:bCs/>
          <w:u w:val="single"/>
        </w:rPr>
        <w:t>Évaluation</w:t>
      </w:r>
      <w:r w:rsidRPr="00A673C2">
        <w:rPr>
          <w:rFonts w:asciiTheme="majorBidi" w:hAnsiTheme="majorBidi" w:cstheme="majorBidi"/>
          <w:b/>
          <w:bCs/>
        </w:rPr>
        <w:t xml:space="preserve"> : </w:t>
      </w:r>
      <w:r w:rsidRPr="00A673C2">
        <w:rPr>
          <w:rFonts w:asciiTheme="majorBidi" w:hAnsiTheme="majorBidi" w:cstheme="majorBidi"/>
        </w:rPr>
        <w:t xml:space="preserve">Les participants auront à répondre à un pré-test et à un </w:t>
      </w:r>
      <w:proofErr w:type="spellStart"/>
      <w:r w:rsidRPr="00A673C2">
        <w:rPr>
          <w:rFonts w:asciiTheme="majorBidi" w:hAnsiTheme="majorBidi" w:cstheme="majorBidi"/>
        </w:rPr>
        <w:t>post-test</w:t>
      </w:r>
      <w:proofErr w:type="spellEnd"/>
      <w:r w:rsidRPr="00A673C2">
        <w:rPr>
          <w:rFonts w:asciiTheme="majorBidi" w:hAnsiTheme="majorBidi" w:cstheme="majorBidi"/>
        </w:rPr>
        <w:t>.</w:t>
      </w:r>
    </w:p>
    <w:p w:rsidR="00F724CE" w:rsidRDefault="00290F73" w:rsidP="00B36C4A">
      <w:pPr>
        <w:shd w:val="clear" w:color="auto" w:fill="FFFFFF"/>
        <w:spacing w:after="0" w:line="360" w:lineRule="auto"/>
        <w:rPr>
          <w:rFonts w:asciiTheme="majorBidi" w:hAnsiTheme="majorBidi" w:cstheme="majorBidi"/>
        </w:rPr>
      </w:pPr>
      <w:r w:rsidRPr="00A673C2">
        <w:rPr>
          <w:rFonts w:asciiTheme="majorBidi" w:hAnsiTheme="majorBidi" w:cstheme="majorBidi"/>
          <w:b/>
          <w:bCs/>
          <w:u w:val="single"/>
        </w:rPr>
        <w:t>Inscription</w:t>
      </w:r>
      <w:r w:rsidRPr="00A673C2">
        <w:rPr>
          <w:rFonts w:asciiTheme="majorBidi" w:hAnsiTheme="majorBidi" w:cstheme="majorBidi"/>
        </w:rPr>
        <w:t xml:space="preserve"> : Les enseignants hospitalo-universitaires et les </w:t>
      </w:r>
      <w:r w:rsidR="004C030A" w:rsidRPr="00A673C2">
        <w:rPr>
          <w:rFonts w:asciiTheme="majorBidi" w:hAnsiTheme="majorBidi" w:cstheme="majorBidi"/>
        </w:rPr>
        <w:t>doctorants</w:t>
      </w:r>
      <w:r w:rsidRPr="00A673C2">
        <w:rPr>
          <w:rFonts w:asciiTheme="majorBidi" w:hAnsiTheme="majorBidi" w:cstheme="majorBidi"/>
        </w:rPr>
        <w:t xml:space="preserve"> désireux de s'inscrire s</w:t>
      </w:r>
      <w:r w:rsidR="00B36C4A">
        <w:rPr>
          <w:rFonts w:asciiTheme="majorBidi" w:hAnsiTheme="majorBidi" w:cstheme="majorBidi"/>
        </w:rPr>
        <w:t>o</w:t>
      </w:r>
      <w:r w:rsidRPr="00A673C2">
        <w:rPr>
          <w:rFonts w:asciiTheme="majorBidi" w:hAnsiTheme="majorBidi" w:cstheme="majorBidi"/>
        </w:rPr>
        <w:t>nt invités à remplir un</w:t>
      </w:r>
      <w:r w:rsidR="004D3F45">
        <w:rPr>
          <w:rFonts w:asciiTheme="majorBidi" w:hAnsiTheme="majorBidi" w:cstheme="majorBidi"/>
        </w:rPr>
        <w:t xml:space="preserve"> formulaire d</w:t>
      </w:r>
      <w:r w:rsidRPr="00A673C2">
        <w:rPr>
          <w:rFonts w:asciiTheme="majorBidi" w:hAnsiTheme="majorBidi" w:cstheme="majorBidi"/>
        </w:rPr>
        <w:t xml:space="preserve">e pré-inscription </w:t>
      </w:r>
      <w:r w:rsidR="00C06F99" w:rsidRPr="00A673C2">
        <w:rPr>
          <w:rFonts w:asciiTheme="majorBidi" w:hAnsiTheme="majorBidi" w:cstheme="majorBidi"/>
        </w:rPr>
        <w:t xml:space="preserve">sur Google </w:t>
      </w:r>
      <w:proofErr w:type="spellStart"/>
      <w:r w:rsidR="0029724A">
        <w:rPr>
          <w:rFonts w:asciiTheme="majorBidi" w:hAnsiTheme="majorBidi" w:cstheme="majorBidi"/>
        </w:rPr>
        <w:t>forms</w:t>
      </w:r>
      <w:proofErr w:type="spellEnd"/>
      <w:r w:rsidR="004D3F45">
        <w:rPr>
          <w:rFonts w:asciiTheme="majorBidi" w:hAnsiTheme="majorBidi" w:cstheme="majorBidi"/>
        </w:rPr>
        <w:t xml:space="preserve"> dont le lien est publié sur le site de la FMT une semaine avant le séminaire.</w:t>
      </w:r>
      <w:r w:rsidR="004D3F45" w:rsidRPr="004D3F45">
        <w:rPr>
          <w:rFonts w:asciiTheme="majorBidi" w:hAnsiTheme="majorBidi" w:cstheme="majorBidi"/>
          <w:i/>
          <w:iCs/>
        </w:rPr>
        <w:t xml:space="preserve"> </w:t>
      </w:r>
    </w:p>
    <w:p w:rsidR="009F0363" w:rsidRPr="009F0363" w:rsidRDefault="009F0363" w:rsidP="00B36C4A">
      <w:pPr>
        <w:shd w:val="clear" w:color="auto" w:fill="FFFFFF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</w:t>
      </w:r>
      <w:r w:rsidRPr="00A673C2">
        <w:rPr>
          <w:rFonts w:asciiTheme="majorBidi" w:hAnsiTheme="majorBidi" w:cstheme="majorBidi"/>
        </w:rPr>
        <w:t xml:space="preserve">’effectif des participants est de </w:t>
      </w:r>
      <w:r w:rsidRPr="0029724A">
        <w:rPr>
          <w:rFonts w:asciiTheme="majorBidi" w:hAnsiTheme="majorBidi" w:cstheme="majorBidi"/>
          <w:b/>
          <w:bCs/>
        </w:rPr>
        <w:t>35</w:t>
      </w:r>
      <w:r w:rsidRPr="00A673C2">
        <w:rPr>
          <w:rFonts w:asciiTheme="majorBidi" w:hAnsiTheme="majorBidi" w:cstheme="majorBidi"/>
        </w:rPr>
        <w:t>. La p</w:t>
      </w:r>
      <w:r w:rsidRPr="00A673C2">
        <w:rPr>
          <w:rFonts w:asciiTheme="majorBidi" w:hAnsiTheme="majorBidi" w:cstheme="majorBidi"/>
          <w:bCs/>
        </w:rPr>
        <w:t>riorité sui</w:t>
      </w:r>
      <w:r w:rsidR="00B36C4A">
        <w:rPr>
          <w:rFonts w:asciiTheme="majorBidi" w:hAnsiTheme="majorBidi" w:cstheme="majorBidi"/>
          <w:bCs/>
        </w:rPr>
        <w:t>t</w:t>
      </w:r>
      <w:r w:rsidRPr="00A673C2">
        <w:rPr>
          <w:rFonts w:asciiTheme="majorBidi" w:hAnsiTheme="majorBidi" w:cstheme="majorBidi"/>
          <w:bCs/>
        </w:rPr>
        <w:t xml:space="preserve"> l’ordre </w:t>
      </w:r>
      <w:r w:rsidRPr="009F0363">
        <w:rPr>
          <w:rFonts w:asciiTheme="majorBidi" w:hAnsiTheme="majorBidi" w:cstheme="majorBidi"/>
        </w:rPr>
        <w:t xml:space="preserve">chronologique des inscriptions. </w:t>
      </w:r>
    </w:p>
    <w:p w:rsidR="00F724CE" w:rsidRDefault="009F0363" w:rsidP="00F724CE">
      <w:pPr>
        <w:spacing w:after="0" w:line="360" w:lineRule="auto"/>
        <w:jc w:val="both"/>
        <w:rPr>
          <w:rFonts w:asciiTheme="majorBidi" w:hAnsiTheme="majorBidi" w:cstheme="majorBidi"/>
        </w:rPr>
      </w:pPr>
      <w:r w:rsidRPr="009F0363">
        <w:rPr>
          <w:rFonts w:asciiTheme="majorBidi" w:hAnsiTheme="majorBidi" w:cstheme="majorBidi"/>
        </w:rPr>
        <w:t>Les frais de participation s’élèvent à 120DT</w:t>
      </w:r>
      <w:r w:rsidR="00C25610">
        <w:rPr>
          <w:rFonts w:asciiTheme="majorBidi" w:hAnsiTheme="majorBidi" w:cstheme="majorBidi"/>
        </w:rPr>
        <w:t>. Le paiement est effectué par chèque bancaire émis au nom</w:t>
      </w:r>
      <w:r w:rsidR="00C25610" w:rsidRPr="00F724CE">
        <w:rPr>
          <w:rFonts w:asciiTheme="majorBidi" w:hAnsiTheme="majorBidi" w:cstheme="majorBidi"/>
        </w:rPr>
        <w:t xml:space="preserve"> de </w:t>
      </w:r>
    </w:p>
    <w:p w:rsidR="00CA318F" w:rsidRPr="009F0363" w:rsidRDefault="00C25610" w:rsidP="00F724CE">
      <w:pPr>
        <w:spacing w:after="0" w:line="360" w:lineRule="auto"/>
        <w:jc w:val="both"/>
        <w:rPr>
          <w:rFonts w:asciiTheme="majorBidi" w:hAnsiTheme="majorBidi" w:cstheme="majorBidi"/>
        </w:rPr>
      </w:pPr>
      <w:proofErr w:type="gramStart"/>
      <w:r w:rsidRPr="00F724CE">
        <w:rPr>
          <w:rFonts w:asciiTheme="majorBidi" w:hAnsiTheme="majorBidi" w:cstheme="majorBidi"/>
        </w:rPr>
        <w:t>l</w:t>
      </w:r>
      <w:proofErr w:type="gramEnd"/>
      <w:r w:rsidRPr="00F724CE">
        <w:rPr>
          <w:rFonts w:asciiTheme="majorBidi" w:hAnsiTheme="majorBidi" w:cstheme="majorBidi"/>
        </w:rPr>
        <w:t xml:space="preserve">’« Amicale des médecins diplômés de la Faculté de médecine de Tunis ». Il est déposé chez </w:t>
      </w:r>
      <w:r w:rsidRPr="00743218">
        <w:rPr>
          <w:rFonts w:asciiTheme="majorBidi" w:hAnsiTheme="majorBidi" w:cstheme="majorBidi"/>
        </w:rPr>
        <w:t>Madame Saïda BELLAMINE</w:t>
      </w:r>
      <w:r>
        <w:rPr>
          <w:rFonts w:asciiTheme="majorBidi" w:hAnsiTheme="majorBidi" w:cstheme="majorBidi"/>
        </w:rPr>
        <w:t>,</w:t>
      </w:r>
      <w:r w:rsidRPr="009605DA">
        <w:rPr>
          <w:rFonts w:asciiTheme="majorBidi" w:hAnsiTheme="majorBidi" w:cstheme="majorBidi"/>
        </w:rPr>
        <w:t xml:space="preserve"> secrétariat du département de pharmacologie de la FMT</w:t>
      </w:r>
      <w:r>
        <w:rPr>
          <w:rFonts w:asciiTheme="majorBidi" w:hAnsiTheme="majorBidi" w:cstheme="majorBidi"/>
        </w:rPr>
        <w:t xml:space="preserve">, </w:t>
      </w:r>
      <w:r w:rsidRPr="00F724CE">
        <w:rPr>
          <w:rFonts w:asciiTheme="majorBidi" w:hAnsiTheme="majorBidi" w:cstheme="majorBidi"/>
        </w:rPr>
        <w:t>du lundi au vendredi, de 7h à 13h</w:t>
      </w:r>
      <w:r>
        <w:rPr>
          <w:rFonts w:asciiTheme="majorBidi" w:hAnsiTheme="majorBidi" w:cstheme="majorBidi"/>
        </w:rPr>
        <w:t xml:space="preserve">. </w:t>
      </w:r>
    </w:p>
    <w:p w:rsidR="00CA318F" w:rsidRDefault="00F724CE" w:rsidP="00B36C4A">
      <w:pPr>
        <w:spacing w:after="0" w:line="360" w:lineRule="auto"/>
        <w:jc w:val="both"/>
      </w:pPr>
      <w:r w:rsidRPr="00A673C2">
        <w:rPr>
          <w:rFonts w:asciiTheme="majorBidi" w:hAnsiTheme="majorBidi" w:cstheme="majorBidi"/>
          <w:b/>
          <w:bCs/>
          <w:u w:val="single"/>
        </w:rPr>
        <w:t>Attestation de participation au séminaire</w:t>
      </w:r>
      <w:r w:rsidRPr="00A673C2">
        <w:rPr>
          <w:rFonts w:asciiTheme="majorBidi" w:hAnsiTheme="majorBidi" w:cstheme="majorBidi"/>
        </w:rPr>
        <w:t xml:space="preserve"> : Une attestation </w:t>
      </w:r>
      <w:r w:rsidR="00B36C4A">
        <w:rPr>
          <w:rFonts w:asciiTheme="majorBidi" w:hAnsiTheme="majorBidi" w:cstheme="majorBidi"/>
        </w:rPr>
        <w:t>est</w:t>
      </w:r>
      <w:r w:rsidRPr="00A673C2">
        <w:rPr>
          <w:rFonts w:asciiTheme="majorBidi" w:hAnsiTheme="majorBidi" w:cstheme="majorBidi"/>
        </w:rPr>
        <w:t xml:space="preserve"> délivrée à tout participant ne s’étant pas absenté au séminaire-atelier.</w:t>
      </w:r>
    </w:p>
    <w:sectPr w:rsidR="00CA318F" w:rsidSect="0054096B">
      <w:pgSz w:w="11906" w:h="16838"/>
      <w:pgMar w:top="284" w:right="964" w:bottom="28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9E8"/>
    <w:multiLevelType w:val="hybridMultilevel"/>
    <w:tmpl w:val="38383D6E"/>
    <w:lvl w:ilvl="0" w:tplc="699C0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5706C"/>
    <w:multiLevelType w:val="hybridMultilevel"/>
    <w:tmpl w:val="41B2C98C"/>
    <w:lvl w:ilvl="0" w:tplc="B6A6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86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6BE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3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E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EA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C3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67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29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F73"/>
    <w:rsid w:val="00016C7C"/>
    <w:rsid w:val="000654F3"/>
    <w:rsid w:val="000776CF"/>
    <w:rsid w:val="000F654C"/>
    <w:rsid w:val="001758EC"/>
    <w:rsid w:val="00290F73"/>
    <w:rsid w:val="0029724A"/>
    <w:rsid w:val="002F58B4"/>
    <w:rsid w:val="00327E90"/>
    <w:rsid w:val="0034766B"/>
    <w:rsid w:val="003743FB"/>
    <w:rsid w:val="00377D83"/>
    <w:rsid w:val="0040176D"/>
    <w:rsid w:val="00436696"/>
    <w:rsid w:val="0047251A"/>
    <w:rsid w:val="004C030A"/>
    <w:rsid w:val="004D3F45"/>
    <w:rsid w:val="005044BC"/>
    <w:rsid w:val="005524A4"/>
    <w:rsid w:val="0058693C"/>
    <w:rsid w:val="005E464A"/>
    <w:rsid w:val="006426D9"/>
    <w:rsid w:val="00657C5B"/>
    <w:rsid w:val="006909CC"/>
    <w:rsid w:val="006B4B22"/>
    <w:rsid w:val="006F7798"/>
    <w:rsid w:val="007319F5"/>
    <w:rsid w:val="009201E2"/>
    <w:rsid w:val="00927ED9"/>
    <w:rsid w:val="00962D9A"/>
    <w:rsid w:val="009F0363"/>
    <w:rsid w:val="00A673C2"/>
    <w:rsid w:val="00AB31A8"/>
    <w:rsid w:val="00AF056C"/>
    <w:rsid w:val="00B2448A"/>
    <w:rsid w:val="00B33AFA"/>
    <w:rsid w:val="00B36C4A"/>
    <w:rsid w:val="00B4550A"/>
    <w:rsid w:val="00B67C1E"/>
    <w:rsid w:val="00B94FD7"/>
    <w:rsid w:val="00C06F99"/>
    <w:rsid w:val="00C16629"/>
    <w:rsid w:val="00C25610"/>
    <w:rsid w:val="00C66E36"/>
    <w:rsid w:val="00CA318F"/>
    <w:rsid w:val="00D01521"/>
    <w:rsid w:val="00D32763"/>
    <w:rsid w:val="00D85BDA"/>
    <w:rsid w:val="00DF66C1"/>
    <w:rsid w:val="00E87FBD"/>
    <w:rsid w:val="00E97F3F"/>
    <w:rsid w:val="00EC3638"/>
    <w:rsid w:val="00F724CE"/>
    <w:rsid w:val="00F95C6E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73"/>
    <w:pPr>
      <w:spacing w:after="200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0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0F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F73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F036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36C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36C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616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600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50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149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0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Aschraf Chadli-Debbiche</dc:creator>
  <cp:lastModifiedBy>ICHRAF</cp:lastModifiedBy>
  <cp:revision>23</cp:revision>
  <dcterms:created xsi:type="dcterms:W3CDTF">2017-10-07T15:50:00Z</dcterms:created>
  <dcterms:modified xsi:type="dcterms:W3CDTF">2021-12-05T06:54:00Z</dcterms:modified>
</cp:coreProperties>
</file>